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1E4C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81E4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>
        <w:rPr>
          <w:rFonts w:asciiTheme="minorHAnsi" w:eastAsia="Times New Roman" w:hAnsiTheme="minorHAnsi" w:cstheme="minorHAnsi"/>
          <w:lang w:eastAsia="pt-BR"/>
        </w:rPr>
        <w:t>E</w:t>
      </w:r>
      <w:r w:rsidR="00DD365D">
        <w:rPr>
          <w:rFonts w:asciiTheme="minorHAnsi" w:eastAsia="Times New Roman" w:hAnsiTheme="minorHAnsi" w:cstheme="minorHAnsi"/>
          <w:lang w:eastAsia="pt-BR"/>
        </w:rPr>
        <w:t xml:space="preserve"> 0</w:t>
      </w:r>
      <w:r w:rsidR="00AF69DD">
        <w:rPr>
          <w:rFonts w:asciiTheme="minorHAnsi" w:eastAsia="Times New Roman" w:hAnsiTheme="minorHAnsi" w:cstheme="minorHAnsi"/>
          <w:lang w:eastAsia="pt-BR"/>
        </w:rPr>
        <w:t>2</w:t>
      </w:r>
      <w:r w:rsidR="00613EFA">
        <w:rPr>
          <w:rFonts w:asciiTheme="minorHAnsi" w:eastAsia="Times New Roman" w:hAnsiTheme="minorHAnsi" w:cstheme="minorHAnsi"/>
          <w:lang w:eastAsia="pt-BR"/>
        </w:rPr>
        <w:t>3</w:t>
      </w:r>
      <w:r w:rsidRPr="00E81E4C">
        <w:rPr>
          <w:rFonts w:asciiTheme="minorHAnsi" w:eastAsia="Times New Roman" w:hAnsiTheme="minorHAnsi" w:cstheme="minorHAnsi"/>
          <w:lang w:eastAsia="pt-BR"/>
        </w:rPr>
        <w:t>/202</w:t>
      </w:r>
      <w:r w:rsidR="00996428">
        <w:rPr>
          <w:rFonts w:asciiTheme="minorHAnsi" w:eastAsia="Times New Roman" w:hAnsiTheme="minorHAnsi" w:cstheme="minorHAnsi"/>
          <w:lang w:eastAsia="pt-BR"/>
        </w:rPr>
        <w:t>2</w:t>
      </w:r>
      <w:r w:rsidRPr="00E81E4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E81E4C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Cs/>
          <w:sz w:val="22"/>
          <w:szCs w:val="22"/>
          <w:lang w:eastAsia="zh-CN" w:bidi="hi-IN"/>
        </w:rPr>
      </w:pPr>
      <w:r w:rsidRPr="00613EFA">
        <w:rPr>
          <w:rFonts w:eastAsia="Courier New"/>
          <w:color w:val="000000"/>
          <w:sz w:val="22"/>
          <w:szCs w:val="22"/>
          <w:lang w:eastAsia="zh-CN" w:bidi="hi-IN"/>
        </w:rPr>
        <w:t xml:space="preserve">Em atendimento ao pedido de esclarecimentos ao </w:t>
      </w:r>
      <w:r w:rsidRPr="00613EFA">
        <w:rPr>
          <w:rFonts w:eastAsia="Courier New"/>
          <w:bCs/>
          <w:sz w:val="22"/>
          <w:szCs w:val="22"/>
          <w:lang w:eastAsia="zh-CN" w:bidi="hi-IN"/>
        </w:rPr>
        <w:t>Presencial 23/2022</w:t>
      </w:r>
      <w:r>
        <w:rPr>
          <w:rFonts w:eastAsia="Courier New"/>
          <w:color w:val="000000"/>
          <w:sz w:val="22"/>
          <w:szCs w:val="22"/>
          <w:lang w:eastAsia="zh-CN" w:bidi="hi-IN"/>
        </w:rPr>
        <w:t>.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Cs/>
          <w:sz w:val="22"/>
          <w:szCs w:val="22"/>
          <w:lang w:eastAsia="zh-CN" w:bidi="hi-IN"/>
        </w:rPr>
      </w:pPr>
      <w:r w:rsidRPr="00613EFA">
        <w:rPr>
          <w:rFonts w:eastAsia="Courier New"/>
          <w:bCs/>
          <w:sz w:val="22"/>
          <w:szCs w:val="22"/>
          <w:lang w:eastAsia="zh-CN" w:bidi="hi-IN"/>
        </w:rPr>
        <w:tab/>
      </w:r>
      <w:r w:rsidRPr="00613EFA">
        <w:rPr>
          <w:rFonts w:eastAsia="Courier New"/>
          <w:bCs/>
          <w:sz w:val="22"/>
          <w:szCs w:val="22"/>
          <w:lang w:eastAsia="zh-CN" w:bidi="hi-IN"/>
        </w:rPr>
        <w:tab/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1-Esclarecimento: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 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Qual o atual fornecedor do objeto licitado? Se houver, qual a taxa de administração praticado pelo mesmo?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SimSun"/>
          <w:color w:val="000000"/>
          <w:shd w:val="clear" w:color="auto" w:fill="FFFFFF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 xml:space="preserve">Resposta: </w:t>
      </w:r>
      <w:r w:rsidRPr="00613EFA">
        <w:rPr>
          <w:rFonts w:eastAsia="Courier New"/>
          <w:bCs/>
          <w:sz w:val="22"/>
          <w:szCs w:val="22"/>
          <w:lang w:eastAsia="zh-CN" w:bidi="hi-IN"/>
        </w:rPr>
        <w:t xml:space="preserve">Informamos que em atendimento a </w:t>
      </w:r>
      <w:r w:rsidRPr="00613EFA">
        <w:rPr>
          <w:rFonts w:eastAsia="Courier New"/>
          <w:bCs/>
          <w:sz w:val="22"/>
          <w:szCs w:val="22"/>
          <w:lang w:val="pt-PT" w:eastAsia="zh-CN" w:bidi="hi-IN"/>
        </w:rPr>
        <w:t xml:space="preserve">Lei Federal de Acesso a Informação nº 12.527/2011 e Lei Municipal nº 3084/2014, todas as informações constantes no </w:t>
      </w:r>
      <w:r w:rsidRPr="00613EFA">
        <w:rPr>
          <w:rFonts w:eastAsia="SimSun"/>
          <w:shd w:val="clear" w:color="auto" w:fill="FFFFFF"/>
          <w:lang w:eastAsia="zh-CN" w:bidi="hi-IN"/>
        </w:rPr>
        <w:t>040</w:t>
      </w:r>
      <w:r w:rsidRPr="00613EFA">
        <w:rPr>
          <w:rFonts w:eastAsia="SimSun"/>
          <w:color w:val="000000"/>
          <w:shd w:val="clear" w:color="auto" w:fill="FFFFFF"/>
          <w:lang w:eastAsia="zh-CN" w:bidi="hi-IN"/>
        </w:rPr>
        <w:t>/000966/2018, encontram-se disponíveis para consulta no site da Secretaria Municipal de Conservação e Serviços Públicos.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SimSun"/>
          <w:color w:val="000000"/>
          <w:shd w:val="clear" w:color="auto" w:fill="FFFFFF"/>
          <w:lang w:eastAsia="zh-CN" w:bidi="hi-IN"/>
        </w:rPr>
        <w:t>Ademais, entendemos que tal questionamento não é pertinente, vez que, não inviabiliza a elaboração da proposta do licitante interessado, por tratar-se de prestação de serviços independentes.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Cs/>
          <w:sz w:val="22"/>
          <w:szCs w:val="22"/>
          <w:lang w:val="pt-PT" w:eastAsia="zh-CN" w:bidi="hi-IN"/>
        </w:rPr>
      </w:pP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2- Esclarecimento: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 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 Prezado, qual o prazo de atesto para validação da nota fiscal? Esse prazo será incluído no prazo de pagamento contratual?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 xml:space="preserve">Resposta: </w:t>
      </w:r>
      <w:r w:rsidRPr="00613EFA">
        <w:rPr>
          <w:rFonts w:eastAsia="Courier New"/>
          <w:bCs/>
          <w:sz w:val="22"/>
          <w:szCs w:val="22"/>
          <w:lang w:eastAsia="zh-CN" w:bidi="hi-IN"/>
        </w:rPr>
        <w:t>Todas as condições de pagamento para futura contratação, atendem o previsto no D</w:t>
      </w:r>
      <w:r w:rsidRPr="00613EFA">
        <w:rPr>
          <w:rFonts w:eastAsia="SimSun"/>
          <w:color w:val="000000"/>
          <w:sz w:val="22"/>
          <w:szCs w:val="22"/>
          <w:shd w:val="clear" w:color="auto" w:fill="FFFFFF"/>
          <w:lang w:eastAsia="zh-CN" w:bidi="hi-IN"/>
        </w:rPr>
        <w:t>ecreto Municipal nº 13.281/2019, de 11 de julho de 2019, conforme estabelecido no item 08 do Termo de Referência.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 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3- Esclarecimento: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32. Cartões de Abastecimento com Chip, senhas e valores nominais, para garantir maior segurança nas operações eletrônicas.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Questionamento: para o veículo será disponibilizado cartão com identificação da contratante, placa e modelo do veículo e para o motorista matrícula e senha. Atendemos dessa forma?</w:t>
      </w:r>
    </w:p>
    <w:p w:rsidR="00613EFA" w:rsidRPr="00613EFA" w:rsidRDefault="00613EFA" w:rsidP="00613EFA">
      <w:pPr>
        <w:widowControl w:val="0"/>
        <w:jc w:val="both"/>
        <w:rPr>
          <w:rFonts w:eastAsia="SimSun" w:cs="Mangal"/>
          <w:b/>
          <w:bCs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Resposta:</w:t>
      </w:r>
      <w:r w:rsidRPr="00613EFA">
        <w:rPr>
          <w:rFonts w:eastAsia="SimSun" w:cs="Mangal"/>
          <w:b/>
          <w:bCs/>
          <w:lang w:eastAsia="zh-CN" w:bidi="hi-IN"/>
        </w:rPr>
        <w:t xml:space="preserve"> SIM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4- Esclarecimento: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 xml:space="preserve">26. Sistema Web </w:t>
      </w:r>
      <w:proofErr w:type="spellStart"/>
      <w:r w:rsidRPr="00613EFA">
        <w:rPr>
          <w:rFonts w:eastAsia="Courier New"/>
          <w:b/>
          <w:bCs/>
          <w:sz w:val="22"/>
          <w:szCs w:val="22"/>
          <w:lang w:eastAsia="zh-CN" w:bidi="hi-IN"/>
        </w:rPr>
        <w:t>Cloud</w:t>
      </w:r>
      <w:proofErr w:type="spellEnd"/>
      <w:r w:rsidRPr="00613EFA">
        <w:rPr>
          <w:rFonts w:eastAsia="Courier New"/>
          <w:b/>
          <w:bCs/>
          <w:sz w:val="22"/>
          <w:szCs w:val="22"/>
          <w:lang w:eastAsia="zh-CN" w:bidi="hi-IN"/>
        </w:rPr>
        <w:t xml:space="preserve"> para acesso e operação de Condutores e Gestores, disponível 24 horas por dia e 7 dias por semana.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Questionamento: o acesso ao sistema como condutor será permitido desde que a contratante realize o cadastro do mesmo como usuário do sistema, estamos corretos?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 xml:space="preserve">Qual o atual fornecedor do objeto licitado? Se houver, qual a taxa de administração praticado pelo </w:t>
      </w:r>
      <w:r w:rsidRPr="00613EFA">
        <w:rPr>
          <w:rFonts w:eastAsia="Courier New"/>
          <w:b/>
          <w:bCs/>
          <w:sz w:val="22"/>
          <w:szCs w:val="22"/>
          <w:lang w:eastAsia="zh-CN" w:bidi="hi-IN"/>
        </w:rPr>
        <w:lastRenderedPageBreak/>
        <w:t>mesmo?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SimSun"/>
          <w:color w:val="000000"/>
          <w:shd w:val="clear" w:color="auto" w:fill="FFFFFF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 xml:space="preserve">Resposta: </w:t>
      </w:r>
      <w:r w:rsidRPr="00613EFA">
        <w:rPr>
          <w:rFonts w:eastAsia="Courier New"/>
          <w:bCs/>
          <w:sz w:val="22"/>
          <w:szCs w:val="22"/>
          <w:lang w:eastAsia="zh-CN" w:bidi="hi-IN"/>
        </w:rPr>
        <w:t xml:space="preserve">Informamos que em atendimento a </w:t>
      </w:r>
      <w:r w:rsidRPr="00613EFA">
        <w:rPr>
          <w:rFonts w:eastAsia="Courier New"/>
          <w:bCs/>
          <w:sz w:val="22"/>
          <w:szCs w:val="22"/>
          <w:lang w:val="pt-PT" w:eastAsia="zh-CN" w:bidi="hi-IN"/>
        </w:rPr>
        <w:t xml:space="preserve">Lei Federal de Acesso a Informação nº 12.527/2011 e Lei Municipal nº 3084/2014, todas as informações constantes no </w:t>
      </w:r>
      <w:r w:rsidRPr="00613EFA">
        <w:rPr>
          <w:rFonts w:eastAsia="SimSun"/>
          <w:shd w:val="clear" w:color="auto" w:fill="FFFFFF"/>
          <w:lang w:eastAsia="zh-CN" w:bidi="hi-IN"/>
        </w:rPr>
        <w:t>040</w:t>
      </w:r>
      <w:r w:rsidRPr="00613EFA">
        <w:rPr>
          <w:rFonts w:eastAsia="SimSun"/>
          <w:color w:val="000000"/>
          <w:shd w:val="clear" w:color="auto" w:fill="FFFFFF"/>
          <w:lang w:eastAsia="zh-CN" w:bidi="hi-IN"/>
        </w:rPr>
        <w:t>/000966/2018, encontram-se disponíveis para consulta no site da Secretaria Municipal de Conservação e Serviços Públicos.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SimSun"/>
          <w:color w:val="000000"/>
          <w:shd w:val="clear" w:color="auto" w:fill="FFFFFF"/>
          <w:lang w:eastAsia="zh-CN" w:bidi="hi-IN"/>
        </w:rPr>
        <w:t xml:space="preserve">Ademais, entendemos que tal questionamento não é pertinente, vez </w:t>
      </w:r>
      <w:proofErr w:type="gramStart"/>
      <w:r w:rsidRPr="00613EFA">
        <w:rPr>
          <w:rFonts w:eastAsia="SimSun"/>
          <w:color w:val="000000"/>
          <w:shd w:val="clear" w:color="auto" w:fill="FFFFFF"/>
          <w:lang w:eastAsia="zh-CN" w:bidi="hi-IN"/>
        </w:rPr>
        <w:t>que,  não</w:t>
      </w:r>
      <w:proofErr w:type="gramEnd"/>
      <w:r w:rsidRPr="00613EFA">
        <w:rPr>
          <w:rFonts w:eastAsia="SimSun"/>
          <w:color w:val="000000"/>
          <w:shd w:val="clear" w:color="auto" w:fill="FFFFFF"/>
          <w:lang w:eastAsia="zh-CN" w:bidi="hi-IN"/>
        </w:rPr>
        <w:t xml:space="preserve"> inviabiliza a elaboração da proposta do licitante interessado, por tratar-se de prestação de serviços independentes.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Cs/>
          <w:sz w:val="22"/>
          <w:szCs w:val="22"/>
          <w:lang w:val="pt-PT" w:eastAsia="zh-CN" w:bidi="hi-IN"/>
        </w:rPr>
      </w:pP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2- Esclarecimento: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 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 Prezado, qual o prazo de atesto para validação da nota fiscal? Esse prazo será incluído no prazo de pagamento contratual?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 xml:space="preserve">Resposta: </w:t>
      </w:r>
      <w:r w:rsidRPr="00613EFA">
        <w:rPr>
          <w:rFonts w:eastAsia="Courier New"/>
          <w:bCs/>
          <w:sz w:val="22"/>
          <w:szCs w:val="22"/>
          <w:lang w:eastAsia="zh-CN" w:bidi="hi-IN"/>
        </w:rPr>
        <w:t>Todas as condições de pagamento para futura contratação, atendem o previsto no D</w:t>
      </w:r>
      <w:r w:rsidRPr="00613EFA">
        <w:rPr>
          <w:rFonts w:eastAsia="SimSun"/>
          <w:color w:val="000000"/>
          <w:sz w:val="22"/>
          <w:szCs w:val="22"/>
          <w:shd w:val="clear" w:color="auto" w:fill="FFFFFF"/>
          <w:lang w:eastAsia="zh-CN" w:bidi="hi-IN"/>
        </w:rPr>
        <w:t>ecreto Municipal nº 13.281/2019, de 11 de julho de 2019, conforme estabelecido no item 08 do Termo de Referência.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 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3- Esclarecimento: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32. Cartões de Abastecimento com Chip, senhas e valores nominais, para garantir maior segurança nas operações eletrônicas.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Questionamento: para o veículo será disponibilizado cartão com identificação da contratante, placa e modelo do veículo e para o motorista matrícula e senha. Atendemos dessa forma?</w:t>
      </w:r>
    </w:p>
    <w:p w:rsidR="00613EFA" w:rsidRPr="00613EFA" w:rsidRDefault="00613EFA" w:rsidP="00613EFA">
      <w:pPr>
        <w:widowControl w:val="0"/>
        <w:jc w:val="both"/>
        <w:rPr>
          <w:rFonts w:eastAsia="SimSun" w:cs="Mangal"/>
          <w:b/>
          <w:bCs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Resposta:</w:t>
      </w:r>
      <w:r w:rsidRPr="00613EFA">
        <w:rPr>
          <w:rFonts w:eastAsia="SimSun" w:cs="Mangal"/>
          <w:b/>
          <w:bCs/>
          <w:lang w:eastAsia="zh-CN" w:bidi="hi-IN"/>
        </w:rPr>
        <w:t xml:space="preserve"> SIM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4- Esclarecimento: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 xml:space="preserve">26. Sistema Web </w:t>
      </w:r>
      <w:proofErr w:type="spellStart"/>
      <w:r w:rsidRPr="00613EFA">
        <w:rPr>
          <w:rFonts w:eastAsia="Courier New"/>
          <w:b/>
          <w:bCs/>
          <w:sz w:val="22"/>
          <w:szCs w:val="22"/>
          <w:lang w:eastAsia="zh-CN" w:bidi="hi-IN"/>
        </w:rPr>
        <w:t>Cloud</w:t>
      </w:r>
      <w:proofErr w:type="spellEnd"/>
      <w:r w:rsidRPr="00613EFA">
        <w:rPr>
          <w:rFonts w:eastAsia="Courier New"/>
          <w:b/>
          <w:bCs/>
          <w:sz w:val="22"/>
          <w:szCs w:val="22"/>
          <w:lang w:eastAsia="zh-CN" w:bidi="hi-IN"/>
        </w:rPr>
        <w:t xml:space="preserve"> para acesso e operação de Condutores e Gestores, disponível 24 horas por dia e 7 dias por semana.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Questionamento: o acesso ao sistema como condutor será permitido desde que a contratante realize o cadastro do mesmo como usuário do sistema, estamos corretos?</w:t>
      </w:r>
    </w:p>
    <w:p w:rsidR="00613EFA" w:rsidRPr="00613EFA" w:rsidRDefault="00613EFA" w:rsidP="00613EFA">
      <w:pPr>
        <w:widowControl w:val="0"/>
        <w:jc w:val="both"/>
        <w:rPr>
          <w:rFonts w:eastAsia="SimSun" w:cs="Mangal"/>
          <w:b/>
          <w:bCs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Resposta:</w:t>
      </w:r>
      <w:r w:rsidRPr="00613EFA">
        <w:rPr>
          <w:rFonts w:eastAsia="SimSun" w:cs="Mangal"/>
          <w:b/>
          <w:bCs/>
          <w:lang w:eastAsia="zh-CN" w:bidi="hi-IN"/>
        </w:rPr>
        <w:t xml:space="preserve"> SIM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5- Esclarecimento: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34. Definição de Regras de Parâmetros Restritivos com 34 opções disponíveis para veículos/ máquinas e equipamentos, com possibilidade de definição por grupo de veículos, por tipo de frota, por modelo de veículos e/ou outras denominações atualizadas automaticamente, de uma única vez. De forma que para cada grupo de veículos, dentro da mesma Unidade Gestora e da mesma base, possam ser cadastradas diferentes restrições, conforme a necessidade do cliente.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Questionamento: gentileza especificar as 34 restrições que devem estar disponíveis.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Resposta:</w:t>
      </w:r>
      <w:r w:rsidRPr="00613EF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613EFA">
        <w:rPr>
          <w:rFonts w:eastAsia="Calibri"/>
          <w:bCs/>
          <w:sz w:val="22"/>
          <w:szCs w:val="22"/>
          <w:lang w:eastAsia="en-US"/>
        </w:rPr>
        <w:t>Esclarecemos que h</w:t>
      </w:r>
      <w:r w:rsidRPr="00613EFA">
        <w:rPr>
          <w:rFonts w:eastAsia="Courier New"/>
          <w:bCs/>
          <w:sz w:val="22"/>
          <w:szCs w:val="22"/>
          <w:lang w:eastAsia="zh-CN" w:bidi="hi-IN"/>
        </w:rPr>
        <w:t xml:space="preserve">ouve um </w:t>
      </w:r>
      <w:proofErr w:type="gramStart"/>
      <w:r w:rsidRPr="00613EFA">
        <w:rPr>
          <w:rFonts w:eastAsia="Courier New"/>
          <w:bCs/>
          <w:sz w:val="22"/>
          <w:szCs w:val="22"/>
          <w:lang w:eastAsia="zh-CN" w:bidi="hi-IN"/>
        </w:rPr>
        <w:t>erro  material</w:t>
      </w:r>
      <w:proofErr w:type="gramEnd"/>
      <w:r w:rsidRPr="00613EFA">
        <w:rPr>
          <w:rFonts w:eastAsia="Courier New"/>
          <w:bCs/>
          <w:sz w:val="22"/>
          <w:szCs w:val="22"/>
          <w:lang w:eastAsia="zh-CN" w:bidi="hi-IN"/>
        </w:rPr>
        <w:t xml:space="preserve"> no momento da digitação do item 34, devendo ser </w:t>
      </w:r>
      <w:r w:rsidRPr="00613EFA">
        <w:rPr>
          <w:rFonts w:eastAsia="Courier New"/>
          <w:bCs/>
          <w:sz w:val="22"/>
          <w:szCs w:val="22"/>
          <w:lang w:eastAsia="zh-CN" w:bidi="hi-IN"/>
        </w:rPr>
        <w:lastRenderedPageBreak/>
        <w:t>suprimido tal número cardinal no bojo do texto, vez que, não existe quantitativo estabelecido para opções disponíveis para veículos/máquinas e equipamentos. Devendo ser entendido da seguinte forma:(...) com opções disponíveis para veículos/máquinas e equipamentos (...).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Cs/>
          <w:sz w:val="22"/>
          <w:szCs w:val="22"/>
          <w:lang w:eastAsia="zh-CN" w:bidi="hi-IN"/>
        </w:rPr>
      </w:pP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Questionamento: após o cadastro do veículo, é possível aplicar filtros como por exemplo: modelo do veículo e inserir parametrizações em lote. Entendemos que dessa forma atendemos o item em questão, estamos corretos?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Resposta: SIM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6- Esclarecimento: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41. Para as emissões de 2ª (segunda) via por processo de substituição (problema no chip, desgaste), o cancelamento do cartão em uso e o desbloqueio da 2ª (segunda) via ocorrerá simultaneamente mediante 1ª (primeira) utilização do novo cartão.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Questionamento: por questões de segurança, o desbloqueio do novo cartão deverá ser feito pela contratante. Dessa forma atendemos o item?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Resposta: SIM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7- Esclarecimento: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44. Controle de documentação e multas dos condutores;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>Questionamento: referente ao controle de documentação, é possível controlar o vencimento do IPVA, entendemos que dessa forma atendemos o item em questão, estamos corretos?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2"/>
          <w:szCs w:val="22"/>
          <w:lang w:eastAsia="zh-CN" w:bidi="hi-IN"/>
        </w:rPr>
      </w:pPr>
    </w:p>
    <w:p w:rsidR="00613EFA" w:rsidRPr="00613EFA" w:rsidRDefault="00613EFA" w:rsidP="00613EFA">
      <w:pPr>
        <w:widowControl w:val="0"/>
        <w:jc w:val="both"/>
        <w:rPr>
          <w:rFonts w:eastAsia="SimSun" w:cs="Mangal"/>
          <w:b/>
          <w:bCs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 xml:space="preserve">Resposta: </w:t>
      </w:r>
      <w:r w:rsidRPr="00613EFA">
        <w:rPr>
          <w:rFonts w:eastAsia="SimSun" w:cs="Mangal"/>
          <w:b/>
          <w:bCs/>
          <w:lang w:eastAsia="zh-CN" w:bidi="hi-IN"/>
        </w:rPr>
        <w:t>SIM</w:t>
      </w:r>
    </w:p>
    <w:p w:rsidR="00613EFA" w:rsidRPr="00613EFA" w:rsidRDefault="00613EFA" w:rsidP="00613EFA">
      <w:pPr>
        <w:widowControl w:val="0"/>
        <w:tabs>
          <w:tab w:val="left" w:pos="1395"/>
        </w:tabs>
        <w:spacing w:line="276" w:lineRule="auto"/>
        <w:jc w:val="both"/>
        <w:rPr>
          <w:rFonts w:eastAsia="SimSun"/>
          <w:sz w:val="22"/>
          <w:szCs w:val="22"/>
          <w:lang w:eastAsia="zh-CN" w:bidi="hi-IN"/>
        </w:rPr>
      </w:pPr>
      <w:r w:rsidRPr="00613EFA">
        <w:rPr>
          <w:rFonts w:eastAsia="Courier New"/>
          <w:b/>
          <w:bCs/>
          <w:sz w:val="22"/>
          <w:szCs w:val="22"/>
          <w:lang w:eastAsia="zh-CN" w:bidi="hi-IN"/>
        </w:rPr>
        <w:t xml:space="preserve"> </w:t>
      </w:r>
    </w:p>
    <w:p w:rsidR="00613EFA" w:rsidRPr="00613EFA" w:rsidRDefault="00613EFA" w:rsidP="00613EFA">
      <w:pPr>
        <w:widowControl w:val="0"/>
        <w:overflowPunct w:val="0"/>
        <w:spacing w:after="140" w:line="200" w:lineRule="atLeast"/>
        <w:jc w:val="both"/>
        <w:rPr>
          <w:rFonts w:eastAsia="SimSun"/>
          <w:kern w:val="1"/>
          <w:sz w:val="22"/>
          <w:szCs w:val="22"/>
          <w:lang w:val="x-none" w:eastAsia="zh-CN" w:bidi="hi-IN"/>
        </w:rPr>
      </w:pPr>
      <w:bookmarkStart w:id="0" w:name="_Hlk48745049"/>
      <w:r w:rsidRPr="00613EFA">
        <w:rPr>
          <w:rFonts w:eastAsia="Courier New"/>
          <w:color w:val="000000"/>
          <w:kern w:val="1"/>
          <w:sz w:val="22"/>
          <w:szCs w:val="22"/>
          <w:lang w:eastAsia="zh-CN" w:bidi="hi-IN"/>
        </w:rPr>
        <w:tab/>
        <w:t xml:space="preserve">Atenciosamente, </w:t>
      </w:r>
      <w:r w:rsidRPr="00613EFA">
        <w:rPr>
          <w:rFonts w:eastAsia="Courier New"/>
          <w:color w:val="000000"/>
          <w:kern w:val="1"/>
          <w:sz w:val="22"/>
          <w:szCs w:val="22"/>
          <w:lang w:eastAsia="zh-CN" w:bidi="hi-IN"/>
        </w:rPr>
        <w:tab/>
      </w:r>
      <w:bookmarkEnd w:id="0"/>
      <w:r w:rsidRPr="00613EFA">
        <w:rPr>
          <w:rFonts w:eastAsia="SimSun"/>
          <w:kern w:val="1"/>
          <w:sz w:val="22"/>
          <w:szCs w:val="22"/>
          <w:lang w:val="x-none" w:eastAsia="zh-CN" w:bidi="hi-IN"/>
        </w:rPr>
        <w:t xml:space="preserve"> </w:t>
      </w:r>
    </w:p>
    <w:p w:rsidR="00613EFA" w:rsidRPr="00613EFA" w:rsidRDefault="00613EFA" w:rsidP="00613EFA">
      <w:pPr>
        <w:shd w:val="clear" w:color="auto" w:fill="FFFFFF"/>
        <w:spacing w:line="276" w:lineRule="auto"/>
        <w:ind w:left="2139" w:firstLine="693"/>
        <w:jc w:val="both"/>
        <w:rPr>
          <w:rFonts w:eastAsia="SimSun"/>
          <w:color w:val="000000"/>
          <w:sz w:val="22"/>
          <w:szCs w:val="22"/>
          <w:lang w:eastAsia="zh-CN" w:bidi="hi-IN"/>
        </w:rPr>
      </w:pPr>
      <w:r w:rsidRPr="00613EFA">
        <w:rPr>
          <w:color w:val="000000"/>
          <w:sz w:val="22"/>
          <w:szCs w:val="22"/>
          <w:lang w:eastAsia="zh-CN"/>
        </w:rPr>
        <w:tab/>
      </w:r>
      <w:r w:rsidRPr="00613EFA">
        <w:rPr>
          <w:color w:val="000000"/>
          <w:sz w:val="22"/>
          <w:szCs w:val="22"/>
          <w:lang w:eastAsia="zh-CN"/>
        </w:rPr>
        <w:tab/>
        <w:t xml:space="preserve">Niterói, 26 </w:t>
      </w:r>
      <w:r w:rsidR="00295BFC">
        <w:rPr>
          <w:color w:val="000000"/>
          <w:sz w:val="22"/>
          <w:szCs w:val="22"/>
          <w:lang w:eastAsia="zh-CN"/>
        </w:rPr>
        <w:t xml:space="preserve">de </w:t>
      </w:r>
      <w:r w:rsidRPr="00613EFA">
        <w:rPr>
          <w:color w:val="000000"/>
          <w:sz w:val="22"/>
          <w:szCs w:val="22"/>
          <w:lang w:eastAsia="zh-CN"/>
        </w:rPr>
        <w:t>maio de 2022.</w:t>
      </w:r>
    </w:p>
    <w:p w:rsidR="00613EFA" w:rsidRPr="00613EFA" w:rsidRDefault="00613EFA" w:rsidP="00613EFA">
      <w:pPr>
        <w:shd w:val="clear" w:color="auto" w:fill="FFFFFF"/>
        <w:spacing w:line="276" w:lineRule="auto"/>
        <w:ind w:left="3540" w:firstLine="708"/>
        <w:jc w:val="both"/>
        <w:rPr>
          <w:b/>
          <w:bCs/>
          <w:sz w:val="22"/>
          <w:szCs w:val="22"/>
          <w:lang w:eastAsia="zh-CN"/>
        </w:rPr>
      </w:pPr>
    </w:p>
    <w:p w:rsidR="00613EFA" w:rsidRPr="00613EFA" w:rsidRDefault="00613EFA" w:rsidP="00613EFA">
      <w:pPr>
        <w:shd w:val="clear" w:color="auto" w:fill="FFFFFF"/>
        <w:spacing w:line="276" w:lineRule="auto"/>
        <w:ind w:firstLine="708"/>
        <w:jc w:val="both"/>
        <w:rPr>
          <w:b/>
          <w:bCs/>
          <w:sz w:val="22"/>
          <w:szCs w:val="22"/>
          <w:lang w:eastAsia="zh-CN"/>
        </w:rPr>
      </w:pPr>
    </w:p>
    <w:p w:rsidR="00613EFA" w:rsidRPr="00613EFA" w:rsidRDefault="00613EFA" w:rsidP="00613EFA">
      <w:pPr>
        <w:shd w:val="clear" w:color="auto" w:fill="FFFFFF"/>
        <w:spacing w:line="276" w:lineRule="auto"/>
        <w:ind w:firstLine="708"/>
        <w:jc w:val="center"/>
        <w:rPr>
          <w:b/>
          <w:bCs/>
          <w:sz w:val="22"/>
          <w:szCs w:val="22"/>
          <w:lang w:eastAsia="zh-CN"/>
        </w:rPr>
      </w:pPr>
      <w:r w:rsidRPr="00613EFA">
        <w:rPr>
          <w:b/>
          <w:bCs/>
          <w:sz w:val="22"/>
          <w:szCs w:val="22"/>
          <w:lang w:eastAsia="zh-CN"/>
        </w:rPr>
        <w:t>DAYSE NOGUEIRA MONASSA</w:t>
      </w:r>
    </w:p>
    <w:p w:rsidR="00613EFA" w:rsidRPr="00613EFA" w:rsidRDefault="00613EFA" w:rsidP="00613EFA">
      <w:pPr>
        <w:shd w:val="clear" w:color="auto" w:fill="FFFFFF"/>
        <w:spacing w:line="276" w:lineRule="auto"/>
        <w:ind w:left="-15"/>
        <w:jc w:val="center"/>
        <w:rPr>
          <w:sz w:val="22"/>
          <w:szCs w:val="22"/>
          <w:lang w:eastAsia="zh-CN"/>
        </w:rPr>
      </w:pPr>
      <w:r w:rsidRPr="00613EFA">
        <w:rPr>
          <w:sz w:val="22"/>
          <w:szCs w:val="22"/>
          <w:lang w:eastAsia="zh-CN"/>
        </w:rPr>
        <w:t>Secretária Municipal de Conservação</w:t>
      </w:r>
    </w:p>
    <w:p w:rsidR="00613EFA" w:rsidRPr="00613EFA" w:rsidRDefault="00613EFA" w:rsidP="00613EFA">
      <w:pPr>
        <w:shd w:val="clear" w:color="auto" w:fill="FFFFFF"/>
        <w:spacing w:line="276" w:lineRule="auto"/>
        <w:ind w:left="-15"/>
        <w:jc w:val="center"/>
        <w:rPr>
          <w:sz w:val="22"/>
          <w:szCs w:val="22"/>
          <w:lang w:eastAsia="zh-CN"/>
        </w:rPr>
      </w:pPr>
      <w:proofErr w:type="gramStart"/>
      <w:r w:rsidRPr="00613EFA">
        <w:rPr>
          <w:sz w:val="22"/>
          <w:szCs w:val="22"/>
          <w:lang w:eastAsia="zh-CN"/>
        </w:rPr>
        <w:t>e</w:t>
      </w:r>
      <w:proofErr w:type="gramEnd"/>
      <w:r w:rsidRPr="00613EFA">
        <w:rPr>
          <w:sz w:val="22"/>
          <w:szCs w:val="22"/>
          <w:lang w:eastAsia="zh-CN"/>
        </w:rPr>
        <w:t xml:space="preserve"> Serviços Públicos</w:t>
      </w:r>
      <w:bookmarkStart w:id="1" w:name="_GoBack"/>
      <w:bookmarkEnd w:id="1"/>
    </w:p>
    <w:p w:rsidR="00CB0A11" w:rsidRPr="00CD25BF" w:rsidRDefault="00CB0A11" w:rsidP="00613EFA">
      <w:pPr>
        <w:widowControl w:val="0"/>
        <w:jc w:val="center"/>
        <w:rPr>
          <w:rFonts w:asciiTheme="minorHAnsi" w:hAnsiTheme="minorHAnsi" w:cstheme="minorHAnsi"/>
          <w:bCs/>
          <w:i/>
          <w:lang w:eastAsia="pt-BR"/>
        </w:rPr>
      </w:pPr>
    </w:p>
    <w:sectPr w:rsidR="00CB0A11" w:rsidRPr="00CD25BF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613EFA">
      <w:rPr>
        <w:rFonts w:asciiTheme="minorHAnsi" w:hAnsiTheme="minorHAnsi" w:cstheme="minorHAnsi"/>
        <w:b/>
      </w:rPr>
      <w:t>Conservação e Serviços Públicos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BFC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3EFA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F0F1A9B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D19F-584A-48AA-9712-A165E366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2022-02-01T17:45:00Z</cp:lastPrinted>
  <dcterms:created xsi:type="dcterms:W3CDTF">2022-05-27T10:54:00Z</dcterms:created>
  <dcterms:modified xsi:type="dcterms:W3CDTF">2022-05-27T10:54:00Z</dcterms:modified>
</cp:coreProperties>
</file>